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>
          <w:sz w:val="17"/>
        </w:rPr>
      </w:pPr>
      <w:r>
        <w:rPr>
          <w:sz w:val="17"/>
        </w:rPr>
        <w:t xml:space="preserve">EUCC-HRGR </w:t>
      </w:r>
    </w:p>
    <w:p>
      <w:pPr>
        <w:pStyle w:val="TextBody"/>
        <w:rPr>
          <w:sz w:val="17"/>
        </w:rPr>
      </w:pPr>
      <w:r>
        <w:rPr>
          <w:sz w:val="17"/>
        </w:rPr>
        <w:t xml:space="preserve">PARA SU INFORMACION / FOR INFORMATION ONLY </w:t>
      </w:r>
    </w:p>
    <w:p>
      <w:pPr>
        <w:pStyle w:val="TextBody"/>
        <w:rPr>
          <w:sz w:val="17"/>
        </w:rPr>
      </w:pPr>
      <w:r>
        <w:rPr>
          <w:sz w:val="17"/>
        </w:rPr>
        <w:t xml:space="preserve">LIQUIDACION EUCC HRGR / RECONCILIATION EUCC HRGR (01/01/2015 31/12/2015) </w:t>
      </w:r>
    </w:p>
    <w:p>
      <w:pPr>
        <w:pStyle w:val="TextBody"/>
        <w:rPr>
          <w:sz w:val="18"/>
        </w:rPr>
      </w:pPr>
      <w:r>
        <w:rPr>
          <w:sz w:val="18"/>
        </w:rPr>
        <w:t xml:space="preserve">INGRESOS / INCOMES </w:t>
      </w:r>
    </w:p>
    <w:p>
      <w:pPr>
        <w:pStyle w:val="TextBody"/>
        <w:rPr>
          <w:sz w:val="15"/>
        </w:rPr>
      </w:pPr>
      <w:r>
        <w:rPr>
          <w:sz w:val="15"/>
        </w:rPr>
        <w:t xml:space="preserve">Presupuesto 2015 </w:t>
      </w:r>
    </w:p>
    <w:p>
      <w:pPr>
        <w:pStyle w:val="TextBody"/>
        <w:rPr>
          <w:sz w:val="15"/>
        </w:rPr>
      </w:pPr>
      <w:r>
        <w:rPr>
          <w:sz w:val="15"/>
        </w:rPr>
        <w:t xml:space="preserve">Budget 2015 </w:t>
      </w:r>
    </w:p>
    <w:p>
      <w:pPr>
        <w:pStyle w:val="TextBody"/>
        <w:rPr>
          <w:sz w:val="15"/>
        </w:rPr>
      </w:pPr>
      <w:r>
        <w:rPr>
          <w:sz w:val="15"/>
        </w:rPr>
        <w:t xml:space="preserve">Real / Actual 2015 </w:t>
      </w:r>
    </w:p>
    <w:p>
      <w:pPr>
        <w:pStyle w:val="TextBody"/>
        <w:rPr>
          <w:sz w:val="12"/>
        </w:rPr>
      </w:pPr>
      <w:r>
        <w:rPr>
          <w:sz w:val="12"/>
        </w:rPr>
        <w:t xml:space="preserve">DESVIACION POR INCREMENTO </w:t>
      </w:r>
    </w:p>
    <w:p>
      <w:pPr>
        <w:pStyle w:val="TextBody"/>
        <w:rPr>
          <w:sz w:val="12"/>
        </w:rPr>
      </w:pPr>
      <w:r>
        <w:rPr>
          <w:sz w:val="12"/>
        </w:rPr>
        <w:t xml:space="preserve">INGRESOS/ </w:t>
      </w:r>
    </w:p>
    <w:p>
      <w:pPr>
        <w:pStyle w:val="TextBody"/>
        <w:rPr>
          <w:sz w:val="12"/>
        </w:rPr>
      </w:pPr>
      <w:r>
        <w:rPr>
          <w:sz w:val="12"/>
        </w:rPr>
        <w:t xml:space="preserve">DEVIATION FROM INCREASED REVENUES </w:t>
      </w:r>
    </w:p>
    <w:p>
      <w:pPr>
        <w:pStyle w:val="TextBody"/>
        <w:rPr>
          <w:sz w:val="14"/>
        </w:rPr>
      </w:pPr>
      <w:r>
        <w:rPr>
          <w:sz w:val="14"/>
        </w:rPr>
        <w:t xml:space="preserve">CUOTAS DE COMUNIDAD / COMMUNITY FEES </w:t>
      </w:r>
    </w:p>
    <w:p>
      <w:pPr>
        <w:pStyle w:val="TextBody"/>
        <w:rPr>
          <w:sz w:val="15"/>
        </w:rPr>
      </w:pPr>
      <w:r>
        <w:rPr>
          <w:sz w:val="15"/>
        </w:rPr>
        <w:t xml:space="preserve">TOTAL </w:t>
      </w:r>
    </w:p>
    <w:p>
      <w:pPr>
        <w:pStyle w:val="TextBody"/>
        <w:rPr>
          <w:sz w:val="15"/>
        </w:rPr>
      </w:pPr>
      <w:r>
        <w:rPr>
          <w:sz w:val="15"/>
        </w:rPr>
        <w:t xml:space="preserve">542.975,80 € 542.975,80 € </w:t>
      </w:r>
    </w:p>
    <w:p>
      <w:pPr>
        <w:pStyle w:val="TextBody"/>
        <w:rPr>
          <w:sz w:val="15"/>
        </w:rPr>
      </w:pPr>
      <w:r>
        <w:rPr>
          <w:sz w:val="15"/>
        </w:rPr>
        <w:t xml:space="preserve">542.976,12 € 542.976,12 € </w:t>
      </w:r>
    </w:p>
    <w:p>
      <w:pPr>
        <w:pStyle w:val="TextBody"/>
        <w:rPr>
          <w:sz w:val="15"/>
        </w:rPr>
      </w:pPr>
      <w:r>
        <w:rPr>
          <w:sz w:val="15"/>
        </w:rPr>
        <w:t xml:space="preserve">0,32 € </w:t>
      </w:r>
    </w:p>
    <w:p>
      <w:pPr>
        <w:pStyle w:val="TextBody"/>
        <w:rPr>
          <w:sz w:val="14"/>
        </w:rPr>
      </w:pPr>
      <w:r>
        <w:rPr>
          <w:sz w:val="14"/>
        </w:rPr>
        <w:t xml:space="preserve">GASTOS PRESUPUESTADOS / BUDGETED EXPENSES </w:t>
      </w:r>
    </w:p>
    <w:p>
      <w:pPr>
        <w:pStyle w:val="TextBody"/>
        <w:rPr>
          <w:sz w:val="12"/>
        </w:rPr>
      </w:pPr>
      <w:r>
        <w:rPr>
          <w:sz w:val="12"/>
        </w:rPr>
        <w:t xml:space="preserve">GASTOS / EXPENSES </w:t>
      </w:r>
    </w:p>
    <w:p>
      <w:pPr>
        <w:pStyle w:val="TextBody"/>
        <w:rPr>
          <w:sz w:val="15"/>
        </w:rPr>
      </w:pPr>
      <w:r>
        <w:rPr>
          <w:sz w:val="15"/>
        </w:rPr>
        <w:t xml:space="preserve">Presupuesto 2015 </w:t>
      </w:r>
    </w:p>
    <w:p>
      <w:pPr>
        <w:pStyle w:val="TextBody"/>
        <w:rPr>
          <w:sz w:val="15"/>
        </w:rPr>
      </w:pPr>
      <w:r>
        <w:rPr>
          <w:sz w:val="15"/>
        </w:rPr>
        <w:t xml:space="preserve">Budget 2015 542.975,80 € </w:t>
      </w:r>
    </w:p>
    <w:p>
      <w:pPr>
        <w:pStyle w:val="TextBody"/>
        <w:rPr>
          <w:sz w:val="15"/>
        </w:rPr>
      </w:pPr>
      <w:r>
        <w:rPr>
          <w:sz w:val="15"/>
        </w:rPr>
        <w:t xml:space="preserve">Real / Actual 2015 </w:t>
      </w:r>
    </w:p>
    <w:p>
      <w:pPr>
        <w:pStyle w:val="TextBody"/>
        <w:rPr>
          <w:sz w:val="15"/>
        </w:rPr>
      </w:pPr>
      <w:r>
        <w:rPr>
          <w:sz w:val="15"/>
        </w:rPr>
        <w:t xml:space="preserve">554.404,38 € </w:t>
      </w:r>
    </w:p>
    <w:p>
      <w:pPr>
        <w:pStyle w:val="TextBody"/>
        <w:rPr>
          <w:sz w:val="12"/>
        </w:rPr>
      </w:pPr>
      <w:r>
        <w:rPr>
          <w:sz w:val="12"/>
        </w:rPr>
        <w:t xml:space="preserve">SOBRECOSTE/ </w:t>
      </w:r>
    </w:p>
    <w:p>
      <w:pPr>
        <w:pStyle w:val="TextBody"/>
        <w:rPr>
          <w:sz w:val="12"/>
        </w:rPr>
      </w:pPr>
      <w:r>
        <w:rPr>
          <w:sz w:val="12"/>
        </w:rPr>
        <w:t xml:space="preserve">OVEREXPENDITURE </w:t>
      </w:r>
    </w:p>
    <w:p>
      <w:pPr>
        <w:pStyle w:val="TextBody"/>
        <w:rPr>
          <w:sz w:val="15"/>
        </w:rPr>
      </w:pPr>
      <w:r>
        <w:rPr>
          <w:sz w:val="15"/>
        </w:rPr>
        <w:t xml:space="preserve">-11.428,58 € </w:t>
      </w:r>
    </w:p>
    <w:p>
      <w:pPr>
        <w:pStyle w:val="TextBody"/>
        <w:rPr>
          <w:sz w:val="20"/>
        </w:rPr>
      </w:pPr>
      <w:r>
        <w:rPr>
          <w:sz w:val="20"/>
        </w:rPr>
        <w:t xml:space="preserve">FINAL RESULT. </w:t>
      </w:r>
    </w:p>
    <w:p>
      <w:pPr>
        <w:pStyle w:val="TextBody"/>
        <w:rPr>
          <w:sz w:val="20"/>
        </w:rPr>
      </w:pPr>
      <w:r>
        <w:rPr>
          <w:sz w:val="20"/>
        </w:rPr>
        <w:t xml:space="preserve">-11.428,26 € -11.428,26 € </w:t>
      </w:r>
    </w:p>
    <w:p>
      <w:pPr>
        <w:pStyle w:val="TextBody"/>
        <w:jc w:val="center"/>
        <w:rPr/>
      </w:pPr>
      <w:r>
        <w:rPr/>
        <w:drawing>
          <wp:inline distT="0" distB="0" distL="0" distR="0">
            <wp:extent cx="4762500" cy="1752600"/>
            <wp:effectExtent l="0" t="0" r="0" b="0"/>
            <wp:docPr id="1" name="Imag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rPr>
          <w:sz w:val="15"/>
        </w:rPr>
      </w:pPr>
      <w:r>
        <w:rPr>
          <w:sz w:val="15"/>
        </w:rPr>
        <w:t xml:space="preserve">1 </w:t>
      </w:r>
    </w:p>
    <w:p>
      <w:pPr>
        <w:pStyle w:val="TextBody"/>
        <w:rPr>
          <w:sz w:val="15"/>
        </w:rPr>
      </w:pPr>
      <w:r>
        <w:rPr>
          <w:sz w:val="15"/>
        </w:rPr>
        <w:t xml:space="preserve">2 </w:t>
      </w:r>
    </w:p>
    <w:p>
      <w:pPr>
        <w:pStyle w:val="TextBody"/>
        <w:rPr>
          <w:sz w:val="15"/>
        </w:rPr>
      </w:pPr>
      <w:r>
        <w:rPr>
          <w:sz w:val="15"/>
        </w:rPr>
        <w:t xml:space="preserve">3 </w:t>
      </w:r>
    </w:p>
    <w:p>
      <w:pPr>
        <w:pStyle w:val="TextBody"/>
        <w:rPr>
          <w:sz w:val="15"/>
        </w:rPr>
      </w:pPr>
      <w:r>
        <w:rPr>
          <w:sz w:val="15"/>
        </w:rPr>
        <w:t xml:space="preserve">4 </w:t>
      </w:r>
    </w:p>
    <w:p>
      <w:pPr>
        <w:pStyle w:val="TextBody"/>
        <w:rPr>
          <w:sz w:val="15"/>
        </w:rPr>
      </w:pPr>
      <w:r>
        <w:rPr>
          <w:sz w:val="15"/>
        </w:rPr>
        <w:t xml:space="preserve">5 </w:t>
      </w:r>
    </w:p>
    <w:p>
      <w:pPr>
        <w:pStyle w:val="TextBody"/>
        <w:rPr>
          <w:sz w:val="15"/>
        </w:rPr>
      </w:pPr>
      <w:r>
        <w:rPr>
          <w:sz w:val="15"/>
        </w:rPr>
        <w:t xml:space="preserve">6 </w:t>
      </w:r>
    </w:p>
    <w:p>
      <w:pPr>
        <w:pStyle w:val="TextBody"/>
        <w:rPr>
          <w:sz w:val="15"/>
        </w:rPr>
      </w:pPr>
      <w:r>
        <w:rPr>
          <w:sz w:val="15"/>
        </w:rPr>
        <w:t xml:space="preserve">7 </w:t>
      </w:r>
    </w:p>
    <w:p>
      <w:pPr>
        <w:pStyle w:val="TextBody"/>
        <w:rPr>
          <w:sz w:val="15"/>
        </w:rPr>
      </w:pPr>
      <w:r>
        <w:rPr>
          <w:sz w:val="15"/>
        </w:rPr>
        <w:t xml:space="preserve">8 </w:t>
      </w:r>
    </w:p>
    <w:p>
      <w:pPr>
        <w:pStyle w:val="TextBody"/>
        <w:rPr>
          <w:sz w:val="15"/>
        </w:rPr>
      </w:pPr>
      <w:r>
        <w:rPr>
          <w:sz w:val="15"/>
        </w:rPr>
        <w:t xml:space="preserve">9 </w:t>
      </w:r>
    </w:p>
    <w:p>
      <w:pPr>
        <w:pStyle w:val="TextBody"/>
        <w:rPr>
          <w:sz w:val="15"/>
        </w:rPr>
      </w:pPr>
      <w:r>
        <w:rPr>
          <w:sz w:val="15"/>
        </w:rPr>
        <w:t xml:space="preserve">10 </w:t>
      </w:r>
    </w:p>
    <w:p>
      <w:pPr>
        <w:pStyle w:val="TextBody"/>
        <w:rPr>
          <w:sz w:val="15"/>
        </w:rPr>
      </w:pPr>
      <w:r>
        <w:rPr>
          <w:sz w:val="15"/>
        </w:rPr>
        <w:t xml:space="preserve">11 </w:t>
      </w:r>
    </w:p>
    <w:p>
      <w:pPr>
        <w:pStyle w:val="TextBody"/>
        <w:rPr>
          <w:sz w:val="17"/>
        </w:rPr>
      </w:pPr>
      <w:r>
        <w:rPr>
          <w:sz w:val="17"/>
        </w:rPr>
        <w:t xml:space="preserve">EUCC HRGR </w:t>
      </w:r>
    </w:p>
    <w:p>
      <w:pPr>
        <w:pStyle w:val="TextBody"/>
        <w:rPr>
          <w:sz w:val="17"/>
        </w:rPr>
      </w:pPr>
      <w:r>
        <w:rPr>
          <w:sz w:val="17"/>
        </w:rPr>
        <w:t xml:space="preserve">PARA SU INFORMACION / FOR INFORMATION ONLY </w:t>
      </w:r>
    </w:p>
    <w:p>
      <w:pPr>
        <w:pStyle w:val="TextBody"/>
        <w:rPr>
          <w:sz w:val="17"/>
        </w:rPr>
      </w:pPr>
      <w:r>
        <w:rPr>
          <w:sz w:val="17"/>
        </w:rPr>
        <w:t xml:space="preserve">BALANCE DE SITUACION A 31/12/2015 BALANCE SHEET AT 31/12/2015 </w:t>
      </w:r>
    </w:p>
    <w:p>
      <w:pPr>
        <w:pStyle w:val="TextBody"/>
        <w:rPr>
          <w:sz w:val="15"/>
        </w:rPr>
      </w:pPr>
      <w:r>
        <w:rPr>
          <w:sz w:val="15"/>
        </w:rPr>
        <w:t xml:space="preserve">ACTIVO / ASSETS </w:t>
      </w:r>
    </w:p>
    <w:p>
      <w:pPr>
        <w:pStyle w:val="TextBody"/>
        <w:rPr>
          <w:sz w:val="14"/>
        </w:rPr>
      </w:pPr>
      <w:r>
        <w:rPr>
          <w:sz w:val="14"/>
        </w:rPr>
        <w:t xml:space="preserve">MOROSOS A 31/12/2015 / DEBTORS AS AT 31/12/2015 </w:t>
      </w:r>
    </w:p>
    <w:p>
      <w:pPr>
        <w:pStyle w:val="TextBody"/>
        <w:rPr>
          <w:sz w:val="14"/>
        </w:rPr>
      </w:pPr>
      <w:r>
        <w:rPr>
          <w:sz w:val="14"/>
        </w:rPr>
        <w:t xml:space="preserve">CUENTA CON COMUNIDAD GENERAL / ACCOUNT WITH GENERAL COMMUNITY </w:t>
      </w:r>
    </w:p>
    <w:p>
      <w:pPr>
        <w:pStyle w:val="TextBody"/>
        <w:rPr>
          <w:sz w:val="15"/>
        </w:rPr>
      </w:pPr>
      <w:r>
        <w:rPr>
          <w:sz w:val="15"/>
        </w:rPr>
        <w:t xml:space="preserve">TOTAL ACTIVO / TOTAL ASSETS </w:t>
      </w:r>
    </w:p>
    <w:p>
      <w:pPr>
        <w:pStyle w:val="TextBody"/>
        <w:rPr>
          <w:sz w:val="15"/>
        </w:rPr>
      </w:pPr>
      <w:r>
        <w:rPr>
          <w:sz w:val="15"/>
        </w:rPr>
        <w:t xml:space="preserve">PASIVO LIABILITIES </w:t>
      </w:r>
    </w:p>
    <w:p>
      <w:pPr>
        <w:pStyle w:val="TextBody"/>
        <w:rPr>
          <w:sz w:val="14"/>
        </w:rPr>
      </w:pPr>
      <w:r>
        <w:rPr>
          <w:sz w:val="14"/>
        </w:rPr>
        <w:t xml:space="preserve">RESULTADO / RESULT 2015 ACREEDORES / CREDITORS </w:t>
      </w:r>
    </w:p>
    <w:p>
      <w:pPr>
        <w:pStyle w:val="TextBody"/>
        <w:rPr>
          <w:sz w:val="15"/>
        </w:rPr>
      </w:pPr>
      <w:r>
        <w:rPr>
          <w:sz w:val="15"/>
        </w:rPr>
        <w:t xml:space="preserve">TOTAL PASIVO TOTAL LIABILITIES </w:t>
      </w:r>
    </w:p>
    <w:p>
      <w:pPr>
        <w:pStyle w:val="TextBody"/>
        <w:rPr>
          <w:sz w:val="14"/>
        </w:rPr>
      </w:pPr>
      <w:r>
        <w:rPr>
          <w:sz w:val="14"/>
        </w:rPr>
        <w:t xml:space="preserve">16.072,12 € </w:t>
      </w:r>
    </w:p>
    <w:p>
      <w:pPr>
        <w:pStyle w:val="TextBody"/>
        <w:rPr>
          <w:sz w:val="14"/>
        </w:rPr>
      </w:pPr>
      <w:r>
        <w:rPr>
          <w:sz w:val="14"/>
        </w:rPr>
        <w:t xml:space="preserve">54.674,22 € </w:t>
      </w:r>
    </w:p>
    <w:p>
      <w:pPr>
        <w:pStyle w:val="TextBody"/>
        <w:rPr>
          <w:sz w:val="15"/>
        </w:rPr>
      </w:pPr>
      <w:r>
        <w:rPr>
          <w:sz w:val="15"/>
        </w:rPr>
        <w:t xml:space="preserve">70.746,34 € </w:t>
      </w:r>
    </w:p>
    <w:p>
      <w:pPr>
        <w:pStyle w:val="TextBody"/>
        <w:spacing w:before="0" w:after="283"/>
        <w:rPr>
          <w:sz w:val="14"/>
        </w:rPr>
      </w:pPr>
      <w:r>
        <w:rPr>
          <w:sz w:val="14"/>
        </w:rPr>
        <w:t xml:space="preserve">-11.428,26 € 82.174,60 € 70.746,34 € </w:t>
      </w:r>
    </w:p>
    <w:sectPr>
      <w:type w:val="nextPage"/>
      <w:pgSz w:w="12240" w:h="15840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horndale">
    <w:altName w:val="Times New Roman"/>
    <w:charset w:val="01" w:characterSet="utf-8"/>
    <w:family w:val="roman"/>
    <w:pitch w:val="variable"/>
  </w:font>
  <w:font w:name="Albany">
    <w:altName w:val="Arial"/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8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ist">
    <w:name w:val="List"/>
    <w:basedOn w:val="TextBody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3</Pages>
  <Words>162</Words>
  <Characters>881</Characters>
  <CharactersWithSpaces>1043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